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872"/>
        <w:gridCol w:w="8496"/>
      </w:tblGrid>
      <w:tr>
        <w:tc>
          <w:tcPr>
            <w:tcW w:type="dxa" w:w="5083"/>
            <w:shd w:fill="00AEEF"/>
            <w:tcMar>
              <w:top w:w="240" w:type="dxa"/>
              <w:start w:w="210" w:type="dxa"/>
              <w:bottom w:w="250" w:type="dxa"/>
              <w:end w:w="220" w:type="dxa"/>
            </w:tcMar>
            <w:tcBorders>
              <w:top w:val="nil"/>
              <w:left w:val="nil"/>
              <w:bottom w:val="nil"/>
              <w:right w:val="nil"/>
            </w:tcBorders>
          </w:tcPr>
          <w:p>
            <w:pPr>
              <w:spacing w:before="0" w:after="0" w:line="252" w:lineRule="auto"/>
              <w:jc w:val="center"/>
            </w:pPr>
            <w:r>
              <w:drawing>
                <wp:inline xmlns:a="http://schemas.openxmlformats.org/drawingml/2006/main" xmlns:pic="http://schemas.openxmlformats.org/drawingml/2006/picture">
                  <wp:extent cx="804672" cy="1038286"/>
                  <wp:docPr id="1" name="Picture 1"/>
                  <wp:cNvGraphicFramePr>
                    <a:graphicFrameLocks noChangeAspect="1"/>
                  </wp:cNvGraphicFramePr>
                  <a:graphic>
                    <a:graphicData uri="http://schemas.openxmlformats.org/drawingml/2006/picture">
                      <pic:pic>
                        <pic:nvPicPr>
                          <pic:cNvPr id="0" name="formation_cad_icon_white.png"/>
                          <pic:cNvPicPr/>
                        </pic:nvPicPr>
                        <pic:blipFill>
                          <a:blip r:embed="rId11"/>
                          <a:stretch>
                            <a:fillRect/>
                          </a:stretch>
                        </pic:blipFill>
                        <pic:spPr>
                          <a:xfrm>
                            <a:off x="0" y="0"/>
                            <a:ext cx="804672" cy="1038286"/>
                          </a:xfrm>
                          <a:prstGeom prst="rect"/>
                        </pic:spPr>
                      </pic:pic>
                    </a:graphicData>
                  </a:graphic>
                </wp:inline>
              </w:drawing>
            </w:r>
          </w:p>
        </w:tc>
        <w:tc>
          <w:tcPr>
            <w:tcW w:type="dxa" w:w="5083"/>
            <w:shd w:fill="00AEEF"/>
            <w:tcMar>
              <w:top w:w="240" w:type="dxa"/>
              <w:start w:w="210" w:type="dxa"/>
              <w:bottom w:w="250" w:type="dxa"/>
              <w:end w:w="220" w:type="dxa"/>
            </w:tcMar>
            <w:tcBorders>
              <w:top w:val="nil"/>
              <w:left w:val="nil"/>
              <w:bottom w:val="nil"/>
              <w:right w:val="nil"/>
            </w:tcBorders>
          </w:tcPr>
          <w:p>
            <w:pPr>
              <w:spacing w:before="0" w:after="20" w:line="252" w:lineRule="auto"/>
            </w:pPr>
            <w:r>
              <w:rPr>
                <w:rFonts w:ascii="Aptos" w:hAnsi="Aptos"/>
                <w:b/>
                <w:color w:val="FFFFFF"/>
                <w:sz w:val="22"/>
              </w:rPr>
              <w:t>FORMATION CAD</w:t>
            </w:r>
          </w:p>
          <w:p>
            <w:pPr>
              <w:spacing w:before="100" w:after="40" w:line="252" w:lineRule="auto"/>
            </w:pPr>
            <w:r>
              <w:rPr>
                <w:rFonts w:ascii="Aptos" w:hAnsi="Aptos"/>
                <w:b/>
                <w:color w:val="FFFFFF"/>
                <w:sz w:val="46"/>
              </w:rPr>
              <w:t>Cas guidé - Conception visuelle</w:t>
            </w:r>
          </w:p>
          <w:p>
            <w:pPr>
              <w:spacing w:before="0" w:after="0" w:line="252" w:lineRule="auto"/>
            </w:pPr>
            <w:r>
              <w:rPr>
                <w:rFonts w:ascii="Aptos" w:hAnsi="Aptos"/>
                <w:color w:val="FFFFFF"/>
                <w:sz w:val="23"/>
              </w:rPr>
              <w:t>Power BI  |  Lignes directrices pour la séance à distance</w:t>
            </w:r>
          </w:p>
        </w:tc>
      </w:tr>
    </w:tbl>
    <w:p>
      <w:pPr>
        <w:spacing w:before="240" w:after="40" w:line="252" w:lineRule="auto"/>
      </w:pPr>
      <w:r>
        <w:rPr>
          <w:rFonts w:ascii="Aptos" w:hAnsi="Aptos"/>
          <w:b/>
          <w:color w:val="183A5A"/>
          <w:sz w:val="32"/>
        </w:rPr>
        <w:t>Objectif du cas</w:t>
      </w:r>
    </w:p>
    <w:p>
      <w:pPr>
        <w:spacing w:before="0" w:after="140" w:line="259" w:lineRule="auto"/>
      </w:pPr>
      <w:r>
        <w:rPr>
          <w:rFonts w:ascii="Aptos" w:hAnsi="Aptos"/>
          <w:color w:val="243746"/>
          <w:sz w:val="21"/>
        </w:rPr>
        <w:t>Construire un rapport Power BI de trois pages en appliquant les bonnes pratiques de storytelling, de mise en page, d'interactions et de mise en forme vues pendant la formation. Le but n'est pas de reproduire un modèle au pixel près, mais de créer un rapport cohérent, lisible et utile pour un utilisateur d'affaires.</w:t>
      </w:r>
    </w:p>
    <w:tbl>
      <w:tblPr>
        <w:tblW w:type="auto" w:w="0"/>
        <w:jc w:val="center"/>
        <w:tblLook w:firstColumn="1" w:firstRow="1" w:lastColumn="0" w:lastRow="0" w:noHBand="0" w:noVBand="1" w:val="04A0"/>
      </w:tblPr>
      <w:tblGrid>
        <w:gridCol w:w="10166"/>
      </w:tblGrid>
      <w:tr>
        <w:tc>
          <w:tcPr>
            <w:tcW w:type="dxa" w:w="10166"/>
            <w:shd w:fill="EAF8FD"/>
            <w:tcMar>
              <w:top w:w="110" w:type="dxa"/>
              <w:start w:w="130" w:type="dxa"/>
              <w:bottom w:w="110" w:type="dxa"/>
              <w:end w:w="130" w:type="dxa"/>
            </w:tcMar>
            <w:tcBorders>
              <w:top w:val="single" w:sz="8" w:color="00AEEF"/>
              <w:left w:val="single" w:sz="8" w:color="00AEEF"/>
              <w:bottom w:val="single" w:sz="8" w:color="00AEEF"/>
              <w:right w:val="single" w:sz="8" w:color="00AEEF"/>
            </w:tcBorders>
          </w:tcPr>
          <w:p>
            <w:pPr>
              <w:spacing w:before="0" w:after="0" w:line="252" w:lineRule="auto"/>
            </w:pPr>
            <w:r>
              <w:rPr>
                <w:rFonts w:ascii="Aptos" w:hAnsi="Aptos"/>
                <w:b/>
                <w:color w:val="00AEEF"/>
                <w:sz w:val="18"/>
              </w:rPr>
              <w:t xml:space="preserve">MODE FORMATION À DISTANCE  </w:t>
            </w:r>
            <w:r>
              <w:rPr>
                <w:rFonts w:ascii="Aptos" w:hAnsi="Aptos"/>
                <w:color w:val="243746"/>
                <w:sz w:val="20"/>
              </w:rPr>
              <w:t>Pendant la séance, le formateur construit et commente les principales étapes à l'écran. Vous avancez en parallèle dans votre propre fichier et utilisez ce document comme fil conducteur. Si votre connexion SharePoint n'est pas disponible, le fichier Excel peut servir de solution de repli.</w:t>
            </w:r>
          </w:p>
        </w:tc>
      </w:tr>
    </w:tbl>
    <w:p>
      <w:pPr>
        <w:spacing w:after="0"/>
      </w:pPr>
    </w:p>
    <w:p>
      <w:pPr>
        <w:spacing w:before="200" w:after="100" w:line="240" w:lineRule="auto"/>
        <w:pBdr>
          <w:bottom w:val="single" w:sz="12" w:space="3" w:color="00AEEF"/>
        </w:pBdr>
        <w:keepNext/>
      </w:pPr>
      <w:r>
        <w:rPr>
          <w:rFonts w:ascii="Aptos" w:hAnsi="Aptos"/>
          <w:b/>
          <w:color w:val="183A5A"/>
          <w:sz w:val="34"/>
        </w:rPr>
        <w:t>1. Données et point de départ</w:t>
      </w:r>
    </w:p>
    <w:p>
      <w:pPr>
        <w:spacing w:before="0" w:after="100" w:line="254" w:lineRule="auto"/>
      </w:pPr>
      <w:r>
        <w:rPr>
          <w:rFonts w:ascii="Aptos" w:hAnsi="Aptos"/>
          <w:b/>
          <w:color w:val="243746"/>
          <w:sz w:val="20"/>
        </w:rPr>
        <w:t>Source recommandée : site SharePoint de Formation CAD.</w:t>
      </w:r>
    </w:p>
    <w:p>
      <w:pPr>
        <w:spacing w:before="0" w:after="80" w:line="252" w:lineRule="auto"/>
      </w:pPr>
      <w:r>
        <w:rPr>
          <w:rFonts w:ascii="Aptos" w:hAnsi="Aptos"/>
          <w:b/>
          <w:color w:val="243746"/>
          <w:sz w:val="20"/>
        </w:rPr>
        <w:t xml:space="preserve">Site SharePoint : </w:t>
      </w:r>
      <w:hyperlink r:id="rId12">
        <w:r>
          <w:rPr>
            <w:color w:val="00AEEF"/>
            <w:u w:val="single"/>
          </w:rPr>
          <w:t>https://cadtraining.sharepoint.com/sites/Formation_Power_BI/</w:t>
        </w:r>
      </w:hyperlink>
    </w:p>
    <w:p>
      <w:pPr>
        <w:spacing w:before="0" w:after="100" w:line="254" w:lineRule="auto"/>
      </w:pPr>
      <w:r>
        <w:rPr>
          <w:rFonts w:ascii="Aptos" w:hAnsi="Aptos"/>
          <w:b w:val="0"/>
          <w:color w:val="243746"/>
          <w:sz w:val="20"/>
        </w:rPr>
        <w:t>Fichier de données : DATA_POWERBI_FORMATION.xlsx</w:t>
      </w:r>
    </w:p>
    <w:p>
      <w:pPr>
        <w:spacing w:before="200" w:after="100" w:line="240" w:lineRule="auto"/>
        <w:pBdr>
          <w:bottom w:val="single" w:sz="12" w:space="3" w:color="00AEEF"/>
        </w:pBdr>
        <w:keepNext/>
      </w:pPr>
      <w:r>
        <w:rPr>
          <w:rFonts w:ascii="Aptos" w:hAnsi="Aptos"/>
          <w:b/>
          <w:color w:val="183A5A"/>
          <w:sz w:val="34"/>
        </w:rPr>
        <w:t>2. Résultat attendu</w:t>
      </w:r>
    </w:p>
    <w:tbl>
      <w:tblPr>
        <w:tblW w:type="auto" w:w="0"/>
        <w:jc w:val="center"/>
        <w:tblLayout w:type="fixed"/>
        <w:tblLook w:firstColumn="1" w:firstRow="1" w:lastColumn="0" w:lastRow="0" w:noHBand="0" w:noVBand="1" w:val="04A0"/>
      </w:tblPr>
      <w:tblGrid>
        <w:gridCol w:w="5083"/>
        <w:gridCol w:w="5083"/>
      </w:tblGrid>
      <w:tr>
        <w:tc>
          <w:tcPr>
            <w:tcW w:type="dxa" w:w="5083"/>
            <w:shd w:fill="F6FAFC"/>
            <w:tcBorders>
              <w:top w:val="single" w:sz="6" w:color="E8EDF2"/>
              <w:left w:val="single" w:sz="6" w:color="E8EDF2"/>
              <w:bottom w:val="single" w:sz="6" w:color="E8EDF2"/>
              <w:right w:val="single" w:sz="6" w:color="E8EDF2"/>
            </w:tcBorders>
            <w:tcMar>
              <w:top w:w="120" w:type="dxa"/>
              <w:start w:w="130" w:type="dxa"/>
              <w:bottom w:w="110" w:type="dxa"/>
              <w:end w:w="130" w:type="dxa"/>
            </w:tcMar>
          </w:tcPr>
          <w:p>
            <w:pPr>
              <w:spacing w:before="0" w:after="120" w:line="252" w:lineRule="auto"/>
            </w:pPr>
            <w:r>
              <w:rPr>
                <w:rFonts w:ascii="Aptos" w:hAnsi="Aptos"/>
                <w:b/>
                <w:color w:val="183A5A"/>
                <w:sz w:val="22"/>
              </w:rPr>
              <w:t>Structure minimale du rapport</w:t>
            </w:r>
          </w:p>
          <w:p>
            <w:pPr>
              <w:pStyle w:val="ListBullet"/>
              <w:spacing w:before="0" w:after="40" w:line="245" w:lineRule="auto"/>
            </w:pPr>
            <w:r>
              <w:rPr>
                <w:rFonts w:ascii="Aptos" w:hAnsi="Aptos"/>
                <w:color w:val="243746"/>
                <w:sz w:val="18"/>
              </w:rPr>
              <w:t>3 pages : Direction, Analyse, Qualité / Exceptions</w:t>
            </w:r>
          </w:p>
          <w:p>
            <w:pPr>
              <w:pStyle w:val="ListBullet"/>
              <w:spacing w:before="0" w:after="40" w:line="245" w:lineRule="auto"/>
            </w:pPr>
            <w:r>
              <w:rPr>
                <w:rFonts w:ascii="Aptos" w:hAnsi="Aptos"/>
                <w:color w:val="243746"/>
                <w:sz w:val="18"/>
              </w:rPr>
              <w:t>Segments principaux : Année et Région</w:t>
            </w:r>
          </w:p>
          <w:p>
            <w:pPr>
              <w:pStyle w:val="ListBullet"/>
              <w:spacing w:before="0" w:after="40" w:line="245" w:lineRule="auto"/>
            </w:pPr>
            <w:r>
              <w:rPr>
                <w:rFonts w:ascii="Aptos" w:hAnsi="Aptos"/>
                <w:color w:val="243746"/>
                <w:sz w:val="18"/>
              </w:rPr>
              <w:t>Au moins 2 mises en forme conditionnelles utiles</w:t>
            </w:r>
          </w:p>
          <w:p>
            <w:pPr>
              <w:pStyle w:val="ListBullet"/>
              <w:spacing w:before="0" w:after="40" w:line="245" w:lineRule="auto"/>
            </w:pPr>
            <w:r>
              <w:rPr>
                <w:rFonts w:ascii="Aptos" w:hAnsi="Aptos"/>
                <w:color w:val="243746"/>
                <w:sz w:val="18"/>
              </w:rPr>
              <w:t>Même logique visuelle d’une page à l’autre</w:t>
            </w:r>
          </w:p>
        </w:tc>
        <w:tc>
          <w:tcPr>
            <w:tcW w:type="dxa" w:w="5083"/>
            <w:shd w:fill="F6FAFC"/>
            <w:tcBorders>
              <w:top w:val="single" w:sz="6" w:color="E8EDF2"/>
              <w:left w:val="single" w:sz="6" w:color="E8EDF2"/>
              <w:bottom w:val="single" w:sz="6" w:color="E8EDF2"/>
              <w:right w:val="single" w:sz="6" w:color="E8EDF2"/>
            </w:tcBorders>
            <w:tcMar>
              <w:top w:w="120" w:type="dxa"/>
              <w:start w:w="130" w:type="dxa"/>
              <w:bottom w:w="110" w:type="dxa"/>
              <w:end w:w="130" w:type="dxa"/>
            </w:tcMar>
          </w:tcPr>
          <w:p>
            <w:pPr>
              <w:spacing w:before="0" w:after="120" w:line="252" w:lineRule="auto"/>
            </w:pPr>
            <w:r>
              <w:rPr>
                <w:rFonts w:ascii="Aptos" w:hAnsi="Aptos"/>
                <w:b/>
                <w:color w:val="183A5A"/>
                <w:sz w:val="22"/>
              </w:rPr>
              <w:t>Ce qui est laissé à votre jugement</w:t>
            </w:r>
          </w:p>
          <w:p>
            <w:pPr>
              <w:pStyle w:val="ListBullet"/>
              <w:spacing w:before="0" w:after="40" w:line="245" w:lineRule="auto"/>
            </w:pPr>
            <w:r>
              <w:rPr>
                <w:rFonts w:ascii="Aptos" w:hAnsi="Aptos"/>
                <w:color w:val="243746"/>
                <w:sz w:val="18"/>
              </w:rPr>
              <w:t>Disposition exacte des visuels</w:t>
            </w:r>
          </w:p>
          <w:p>
            <w:pPr>
              <w:pStyle w:val="ListBullet"/>
              <w:spacing w:before="0" w:after="40" w:line="245" w:lineRule="auto"/>
            </w:pPr>
            <w:r>
              <w:rPr>
                <w:rFonts w:ascii="Aptos" w:hAnsi="Aptos"/>
                <w:color w:val="243746"/>
                <w:sz w:val="18"/>
              </w:rPr>
              <w:t>Choix final de certaines visualisations</w:t>
            </w:r>
          </w:p>
          <w:p>
            <w:pPr>
              <w:pStyle w:val="ListBullet"/>
              <w:spacing w:before="0" w:after="40" w:line="245" w:lineRule="auto"/>
            </w:pPr>
            <w:r>
              <w:rPr>
                <w:rFonts w:ascii="Aptos" w:hAnsi="Aptos"/>
                <w:color w:val="243746"/>
                <w:sz w:val="18"/>
              </w:rPr>
              <w:t>Ordre des éléments secondaires</w:t>
            </w:r>
          </w:p>
          <w:p>
            <w:pPr>
              <w:pStyle w:val="ListBullet"/>
              <w:spacing w:before="0" w:after="40" w:line="245" w:lineRule="auto"/>
            </w:pPr>
            <w:r>
              <w:rPr>
                <w:rFonts w:ascii="Aptos" w:hAnsi="Aptos"/>
                <w:color w:val="243746"/>
                <w:sz w:val="18"/>
              </w:rPr>
              <w:t>Ajout de boutons, logo ou éléments de navigation</w:t>
            </w:r>
          </w:p>
        </w:tc>
      </w:tr>
    </w:tbl>
    <w:p>
      <w:pPr>
        <w:spacing w:after="0"/>
      </w:pPr>
    </w:p>
    <w:tbl>
      <w:tblPr>
        <w:tblW w:type="auto" w:w="0"/>
        <w:jc w:val="center"/>
        <w:tblLook w:firstColumn="1" w:firstRow="1" w:lastColumn="0" w:lastRow="0" w:noHBand="0" w:noVBand="1" w:val="04A0"/>
      </w:tblPr>
      <w:tblGrid>
        <w:gridCol w:w="10166"/>
      </w:tblGrid>
      <w:tr>
        <w:tc>
          <w:tcPr>
            <w:tcW w:type="dxa" w:w="10166"/>
            <w:shd w:fill="EAF6EE"/>
            <w:tcMar>
              <w:top w:w="110" w:type="dxa"/>
              <w:start w:w="130" w:type="dxa"/>
              <w:bottom w:w="110" w:type="dxa"/>
              <w:end w:w="130" w:type="dxa"/>
            </w:tcMar>
            <w:tcBorders>
              <w:top w:val="single" w:sz="8" w:color="5EBB79"/>
              <w:left w:val="single" w:sz="8" w:color="5EBB79"/>
              <w:bottom w:val="single" w:sz="8" w:color="5EBB79"/>
              <w:right w:val="single" w:sz="8" w:color="5EBB79"/>
            </w:tcBorders>
          </w:tcPr>
          <w:p>
            <w:pPr>
              <w:spacing w:before="0" w:after="0" w:line="252" w:lineRule="auto"/>
            </w:pPr>
            <w:r>
              <w:rPr>
                <w:rFonts w:ascii="Aptos" w:hAnsi="Aptos"/>
                <w:b/>
                <w:color w:val="2D7D46"/>
                <w:sz w:val="18"/>
              </w:rPr>
              <w:t xml:space="preserve">PRINCIPE IMPORTANT  </w:t>
            </w:r>
            <w:r>
              <w:rPr>
                <w:rFonts w:ascii="Aptos" w:hAnsi="Aptos"/>
                <w:color w:val="243746"/>
                <w:sz w:val="20"/>
              </w:rPr>
              <w:t>Chaque visuel doit répondre à une question. Évitez d'ajouter un graphique uniquement parce qu'il est disponible dans Power BI.</w:t>
            </w:r>
          </w:p>
        </w:tc>
      </w:tr>
    </w:tbl>
    <w:p>
      <w:pPr>
        <w:spacing w:after="0"/>
      </w:pPr>
    </w:p>
    <w:p>
      <w:r>
        <w:br w:type="page"/>
      </w:r>
    </w:p>
    <w:p>
      <w:pPr>
        <w:spacing w:before="200" w:after="100" w:line="240" w:lineRule="auto"/>
        <w:pBdr>
          <w:bottom w:val="single" w:sz="12" w:space="3" w:color="00AEEF"/>
        </w:pBdr>
        <w:keepNext/>
      </w:pPr>
      <w:r>
        <w:rPr>
          <w:rFonts w:ascii="Aptos" w:hAnsi="Aptos"/>
          <w:b/>
          <w:color w:val="183A5A"/>
          <w:sz w:val="34"/>
        </w:rPr>
        <w:t>3. Fil conducteur du cas</w:t>
      </w: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1</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Connexion</w:t>
            </w:r>
            <w:r>
              <w:rPr>
                <w:rFonts w:ascii="Aptos" w:hAnsi="Aptos"/>
                <w:color w:val="243746"/>
                <w:sz w:val="18"/>
              </w:rPr>
              <w:br/>
              <w:t>Connectez-vous aux données et vérifiez que les tables nécessaires sont disponibles.</w:t>
            </w:r>
          </w:p>
        </w:tc>
      </w:tr>
    </w:tbl>
    <w:p>
      <w:pPr>
        <w:spacing w:after="0"/>
      </w:pP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2</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Vérification</w:t>
            </w:r>
            <w:r>
              <w:rPr>
                <w:rFonts w:ascii="Aptos" w:hAnsi="Aptos"/>
                <w:color w:val="243746"/>
                <w:sz w:val="18"/>
              </w:rPr>
              <w:br/>
              <w:t>Avant de créer les visuels, confirmez les relations, les types de données et les mesures principales.</w:t>
            </w:r>
          </w:p>
        </w:tc>
      </w:tr>
    </w:tbl>
    <w:p>
      <w:pPr>
        <w:spacing w:after="0"/>
      </w:pP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3</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Construction</w:t>
            </w:r>
            <w:r>
              <w:rPr>
                <w:rFonts w:ascii="Aptos" w:hAnsi="Aptos"/>
                <w:color w:val="243746"/>
                <w:sz w:val="18"/>
              </w:rPr>
              <w:br/>
              <w:t>Créez les trois pages du rapport en commençant par les questions métier les plus importantes.</w:t>
            </w:r>
          </w:p>
        </w:tc>
      </w:tr>
    </w:tbl>
    <w:p>
      <w:pPr>
        <w:spacing w:after="0"/>
      </w:pP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4</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Mise en forme</w:t>
            </w:r>
            <w:r>
              <w:rPr>
                <w:rFonts w:ascii="Aptos" w:hAnsi="Aptos"/>
                <w:color w:val="243746"/>
                <w:sz w:val="18"/>
              </w:rPr>
              <w:br/>
              <w:t>Uniformisez les titres, les formats de nombres, les espacements, les couleurs et les segments.</w:t>
            </w:r>
          </w:p>
        </w:tc>
      </w:tr>
    </w:tbl>
    <w:p>
      <w:pPr>
        <w:spacing w:after="0"/>
      </w:pP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5</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Interactions</w:t>
            </w:r>
            <w:r>
              <w:rPr>
                <w:rFonts w:ascii="Aptos" w:hAnsi="Aptos"/>
                <w:color w:val="243746"/>
                <w:sz w:val="18"/>
              </w:rPr>
              <w:br/>
              <w:t>Testez les segments, le drill-down et les interactions entre les visuels.</w:t>
            </w:r>
          </w:p>
        </w:tc>
      </w:tr>
    </w:tbl>
    <w:p>
      <w:pPr>
        <w:spacing w:after="0"/>
      </w:pPr>
    </w:p>
    <w:tbl>
      <w:tblPr>
        <w:tblW w:type="auto" w:w="0"/>
        <w:jc w:val="center"/>
        <w:tblLayout w:type="fixed"/>
        <w:tblLook w:firstColumn="1" w:firstRow="1" w:lastColumn="0" w:lastRow="0" w:noHBand="0" w:noVBand="1" w:val="04A0"/>
      </w:tblPr>
      <w:tblGrid>
        <w:gridCol w:w="691"/>
        <w:gridCol w:w="9576"/>
      </w:tblGrid>
      <w:tr>
        <w:tc>
          <w:tcPr>
            <w:tcW w:type="dxa" w:w="5083"/>
            <w:shd w:fill="00AEEF"/>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jc w:val="center"/>
            </w:pPr>
            <w:r>
              <w:rPr>
                <w:rFonts w:ascii="Aptos" w:hAnsi="Aptos"/>
                <w:b/>
                <w:color w:val="FFFFFF"/>
                <w:sz w:val="24"/>
              </w:rPr>
              <w:t>6</w:t>
            </w:r>
          </w:p>
        </w:tc>
        <w:tc>
          <w:tcPr>
            <w:tcW w:type="dxa" w:w="5083"/>
            <w:shd w:fill="EAF8FD"/>
            <w:tcMar>
              <w:top w:w="100" w:type="dxa"/>
              <w:start w:w="100" w:type="dxa"/>
              <w:bottom w:w="100" w:type="dxa"/>
              <w:end w:w="100" w:type="dxa"/>
            </w:tcMar>
            <w:tcBorders>
              <w:top w:val="single" w:sz="6" w:color="00AEEF"/>
              <w:left w:val="single" w:sz="6" w:color="00AEEF"/>
              <w:bottom w:val="single" w:sz="6" w:color="00AEEF"/>
              <w:right w:val="single" w:sz="6" w:color="00AEEF"/>
            </w:tcBorders>
            <w:vAlign w:val="center"/>
          </w:tcPr>
          <w:p>
            <w:pPr>
              <w:spacing w:before="0" w:after="0" w:line="252" w:lineRule="auto"/>
            </w:pPr>
            <w:r>
              <w:rPr>
                <w:rFonts w:ascii="Aptos" w:hAnsi="Aptos"/>
                <w:b/>
                <w:color w:val="183A5A"/>
                <w:sz w:val="22"/>
              </w:rPr>
              <w:t>Validation</w:t>
            </w:r>
            <w:r>
              <w:rPr>
                <w:rFonts w:ascii="Aptos" w:hAnsi="Aptos"/>
                <w:color w:val="243746"/>
                <w:sz w:val="18"/>
              </w:rPr>
              <w:br/>
              <w:t>Relisez le rapport comme si vous étiez l’utilisateur final : le message principal doit être évident rapidement.</w:t>
            </w:r>
          </w:p>
        </w:tc>
      </w:tr>
    </w:tbl>
    <w:p>
      <w:pPr>
        <w:spacing w:after="0"/>
      </w:pPr>
    </w:p>
    <w:p>
      <w:pPr>
        <w:spacing w:before="200" w:after="100" w:line="240" w:lineRule="auto"/>
        <w:pBdr>
          <w:bottom w:val="single" w:sz="12" w:space="3" w:color="00AEEF"/>
        </w:pBdr>
        <w:keepNext/>
      </w:pPr>
      <w:r>
        <w:rPr>
          <w:rFonts w:ascii="Aptos" w:hAnsi="Aptos"/>
          <w:b/>
          <w:color w:val="183A5A"/>
          <w:sz w:val="34"/>
        </w:rPr>
        <w:t>4. Page 1 - Direction</w:t>
      </w:r>
    </w:p>
    <w:tbl>
      <w:tblPr>
        <w:tblW w:type="auto" w:w="0"/>
        <w:jc w:val="center"/>
        <w:tblLook w:firstColumn="1" w:firstRow="1" w:lastColumn="0" w:lastRow="0" w:noHBand="0" w:noVBand="1" w:val="04A0"/>
      </w:tblPr>
      <w:tblGrid>
        <w:gridCol w:w="10166"/>
      </w:tblGrid>
      <w:tr>
        <w:tc>
          <w:tcPr>
            <w:tcW w:type="dxa" w:w="10166"/>
            <w:shd w:fill="EAF8FD"/>
            <w:tcMar>
              <w:top w:w="110" w:type="dxa"/>
              <w:start w:w="130" w:type="dxa"/>
              <w:bottom w:w="110" w:type="dxa"/>
              <w:end w:w="130" w:type="dxa"/>
            </w:tcMar>
            <w:tcBorders>
              <w:top w:val="single" w:sz="8" w:color="00AEEF"/>
              <w:left w:val="single" w:sz="8" w:color="00AEEF"/>
              <w:bottom w:val="single" w:sz="8" w:color="00AEEF"/>
              <w:right w:val="single" w:sz="8" w:color="00AEEF"/>
            </w:tcBorders>
          </w:tcPr>
          <w:p>
            <w:pPr>
              <w:spacing w:before="0" w:after="0" w:line="252" w:lineRule="auto"/>
            </w:pPr>
            <w:r>
              <w:rPr>
                <w:rFonts w:ascii="Aptos" w:hAnsi="Aptos"/>
                <w:b/>
                <w:color w:val="00AEEF"/>
                <w:sz w:val="18"/>
              </w:rPr>
              <w:t xml:space="preserve">QUESTION À LAQUELLE LA PAGE DOIT RÉPONDRE  </w:t>
            </w:r>
            <w:r>
              <w:rPr>
                <w:rFonts w:ascii="Aptos" w:hAnsi="Aptos"/>
                <w:color w:val="243746"/>
                <w:sz w:val="20"/>
              </w:rPr>
              <w:t>Que se passe-t-il globalement dans l'organisation et quels sont les principaux indicateurs à surveiller?</w:t>
            </w:r>
          </w:p>
        </w:tc>
      </w:tr>
    </w:tbl>
    <w:p>
      <w:pPr>
        <w:spacing w:after="0"/>
      </w:pP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Élément</w:t>
            </w:r>
          </w:p>
        </w:tc>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Ligne directrice</w:t>
            </w:r>
          </w:p>
        </w:tc>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Rôle dans la page</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KPI</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Total Ventes, Quantité vendue, Clients distincts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Donner immédiatement la situation globale.</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Tendance mensuelle</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Graphique combiné : ventes par mois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Montrer l’évolution dans le temps et faciliter la lecture d’une tendance.</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Comparaison régionale</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Barres empilées ou 100 %</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Comparer les régions et, au besoin, leur composition.</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Segments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Année et Région</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Permettre à l’utilisateur d’explorer les résultats sans multiplier les pages.</w:t>
            </w:r>
          </w:p>
        </w:tc>
      </w:tr>
    </w:tbl>
    <w:p>
      <w:pPr>
        <w:spacing w:before="120" w:after="60" w:line="240" w:lineRule="auto"/>
        <w:keepNext/>
      </w:pPr>
      <w:r>
        <w:rPr>
          <w:rFonts w:ascii="Aptos" w:hAnsi="Aptos"/>
          <w:b/>
          <w:color w:val="00AEEF"/>
          <w:sz w:val="25"/>
        </w:rPr>
        <w:t>Ce qu’on cherche dans cette page</w:t>
      </w:r>
    </w:p>
    <w:p>
      <w:pPr>
        <w:pStyle w:val="ListBullet"/>
        <w:spacing w:before="0" w:after="50" w:line="250" w:lineRule="auto"/>
      </w:pPr>
      <w:r>
        <w:rPr>
          <w:rFonts w:ascii="Aptos" w:hAnsi="Aptos"/>
          <w:color w:val="243746"/>
          <w:sz w:val="20"/>
        </w:rPr>
        <w:t>Les KPI sont visibles dès l’ouverture du rapport.</w:t>
      </w:r>
    </w:p>
    <w:p>
      <w:pPr>
        <w:pStyle w:val="ListBullet"/>
        <w:spacing w:before="0" w:after="50" w:line="250" w:lineRule="auto"/>
      </w:pPr>
      <w:r>
        <w:rPr>
          <w:rFonts w:ascii="Aptos" w:hAnsi="Aptos"/>
          <w:color w:val="243746"/>
          <w:sz w:val="20"/>
        </w:rPr>
        <w:t>La page reste simple : elle sert à résumer, pas à tout expliquer.</w:t>
      </w:r>
    </w:p>
    <w:p>
      <w:pPr>
        <w:spacing w:before="200" w:after="100" w:line="240" w:lineRule="auto"/>
        <w:pBdr>
          <w:bottom w:val="single" w:sz="12" w:space="3" w:color="00AEEF"/>
        </w:pBdr>
        <w:keepNext/>
        <w:pageBreakBefore/>
      </w:pPr>
      <w:r>
        <w:rPr>
          <w:rFonts w:ascii="Aptos" w:hAnsi="Aptos"/>
          <w:b/>
          <w:color w:val="183A5A"/>
          <w:sz w:val="34"/>
        </w:rPr>
        <w:t>5. Page 2 - Analyse détaillée</w:t>
      </w:r>
    </w:p>
    <w:tbl>
      <w:tblPr>
        <w:tblW w:type="auto" w:w="0"/>
        <w:jc w:val="center"/>
        <w:tblLook w:firstColumn="1" w:firstRow="1" w:lastColumn="0" w:lastRow="0" w:noHBand="0" w:noVBand="1" w:val="04A0"/>
      </w:tblPr>
      <w:tblGrid>
        <w:gridCol w:w="10166"/>
      </w:tblGrid>
      <w:tr>
        <w:tc>
          <w:tcPr>
            <w:tcW w:type="dxa" w:w="10166"/>
            <w:shd w:fill="EAF8FD"/>
            <w:tcMar>
              <w:top w:w="110" w:type="dxa"/>
              <w:start w:w="130" w:type="dxa"/>
              <w:bottom w:w="110" w:type="dxa"/>
              <w:end w:w="130" w:type="dxa"/>
            </w:tcMar>
            <w:tcBorders>
              <w:top w:val="single" w:sz="8" w:color="00AEEF"/>
              <w:left w:val="single" w:sz="8" w:color="00AEEF"/>
              <w:bottom w:val="single" w:sz="8" w:color="00AEEF"/>
              <w:right w:val="single" w:sz="8" w:color="00AEEF"/>
            </w:tcBorders>
          </w:tcPr>
          <w:p>
            <w:pPr>
              <w:spacing w:before="0" w:after="0" w:line="252" w:lineRule="auto"/>
            </w:pPr>
            <w:r>
              <w:rPr>
                <w:rFonts w:ascii="Aptos" w:hAnsi="Aptos"/>
                <w:b/>
                <w:color w:val="00AEEF"/>
                <w:sz w:val="18"/>
              </w:rPr>
              <w:t xml:space="preserve">QUESTION À LAQUELLE LA PAGE DOIT RÉPONDRE  </w:t>
            </w:r>
            <w:r>
              <w:rPr>
                <w:rFonts w:ascii="Aptos" w:hAnsi="Aptos"/>
                <w:color w:val="243746"/>
                <w:sz w:val="20"/>
              </w:rPr>
              <w:t>Qu'est-ce qui explique les résultats et où faut-il regarder pour comprendre les écarts?</w:t>
            </w:r>
          </w:p>
        </w:tc>
      </w:tr>
    </w:tbl>
    <w:p>
      <w:pPr>
        <w:spacing w:after="0"/>
      </w:pP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Élément</w:t>
            </w:r>
          </w:p>
        </w:tc>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Ligne directrice</w:t>
            </w:r>
          </w:p>
        </w:tc>
        <w:tc>
          <w:tcPr>
            <w:tcW w:type="dxa" w:w="3389"/>
            <w:shd w:fill="00AEEF"/>
            <w:tcMar>
              <w:top w:w="90" w:type="dxa"/>
              <w:start w:w="110" w:type="dxa"/>
              <w:bottom w:w="90" w:type="dxa"/>
              <w:end w:w="110" w:type="dxa"/>
            </w:tcMar>
          </w:tcPr>
          <w:p>
            <w:pPr>
              <w:spacing w:before="0" w:after="0" w:line="252" w:lineRule="auto"/>
            </w:pPr>
            <w:r>
              <w:rPr>
                <w:rFonts w:ascii="Aptos" w:hAnsi="Aptos"/>
                <w:b/>
                <w:color w:val="FFFFFF"/>
                <w:sz w:val="18"/>
              </w:rPr>
              <w:t>Rôle dans la page</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Top 10 produits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Barres horizontales, tri décroissant sur Total Ventes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Mettre en évidence les produits qui contribuent le plus.</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Ventes par employé</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Barres ou autre visuel comparatif pertinent</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Comparer rapidement la contribution des employés.</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Matrice</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Région &gt; Catégorie &gt; Produit</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Permettre une lecture du général vers le détail avec le drill-down.</w:t>
            </w:r>
          </w:p>
        </w:tc>
      </w:tr>
      <w:tr>
        <w:tc>
          <w:tcPr>
            <w:tcW w:type="dxa" w:w="3389"/>
            <w:shd w:fill="EAF8FD"/>
            <w:tcMar>
              <w:top w:w="90" w:type="dxa"/>
              <w:start w:w="110" w:type="dxa"/>
              <w:bottom w:w="90" w:type="dxa"/>
              <w:end w:w="110" w:type="dxa"/>
            </w:tcMar>
          </w:tcPr>
          <w:p>
            <w:pPr>
              <w:spacing w:before="0" w:after="0" w:line="245" w:lineRule="auto"/>
            </w:pPr>
            <w:r>
              <w:rPr>
                <w:rFonts w:ascii="Aptos" w:hAnsi="Aptos"/>
                <w:b/>
                <w:color w:val="183A5A"/>
                <w:sz w:val="18"/>
              </w:rPr>
              <w:t>Segments / interactions</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Conserver une logique cohérente avec la page Direction</w:t>
            </w:r>
          </w:p>
        </w:tc>
        <w:tc>
          <w:tcPr>
            <w:tcW w:type="dxa" w:w="3389"/>
            <w:shd w:fill="F6FAFC"/>
            <w:tcMar>
              <w:top w:w="90" w:type="dxa"/>
              <w:start w:w="110" w:type="dxa"/>
              <w:bottom w:w="90" w:type="dxa"/>
              <w:end w:w="110" w:type="dxa"/>
            </w:tcMar>
          </w:tcPr>
          <w:p>
            <w:pPr>
              <w:spacing w:before="0" w:after="0" w:line="245" w:lineRule="auto"/>
            </w:pPr>
            <w:r>
              <w:rPr>
                <w:rFonts w:ascii="Aptos" w:hAnsi="Aptos"/>
                <w:b w:val="0"/>
                <w:color w:val="243746"/>
                <w:sz w:val="18"/>
              </w:rPr>
              <w:t>Permettre de poursuivre l’analyse sans perdre le contexte.</w:t>
            </w:r>
          </w:p>
        </w:tc>
      </w:tr>
    </w:tbl>
    <w:p>
      <w:pPr>
        <w:spacing w:before="120" w:after="60" w:line="240" w:lineRule="auto"/>
        <w:keepNext/>
      </w:pPr>
      <w:r>
        <w:rPr>
          <w:rFonts w:ascii="Aptos" w:hAnsi="Aptos"/>
          <w:b/>
          <w:color w:val="00AEEF"/>
          <w:sz w:val="25"/>
        </w:rPr>
        <w:t>À surveiller pendant la construction</w:t>
      </w:r>
    </w:p>
    <w:p>
      <w:pPr>
        <w:pStyle w:val="ListBullet"/>
        <w:spacing w:before="0" w:after="50" w:line="250" w:lineRule="auto"/>
      </w:pPr>
      <w:r>
        <w:rPr>
          <w:rFonts w:ascii="Aptos" w:hAnsi="Aptos"/>
          <w:color w:val="243746"/>
          <w:sz w:val="20"/>
        </w:rPr>
        <w:t>Le Top 10 doit réellement être trié du plus élevé au plus faible.</w:t>
      </w:r>
    </w:p>
    <w:p>
      <w:pPr>
        <w:pStyle w:val="ListBullet"/>
        <w:spacing w:before="0" w:after="50" w:line="250" w:lineRule="auto"/>
      </w:pPr>
      <w:r>
        <w:rPr>
          <w:rFonts w:ascii="Aptos" w:hAnsi="Aptos"/>
          <w:color w:val="243746"/>
          <w:sz w:val="20"/>
        </w:rPr>
        <w:t>Évitez de répéter exactement le même message dans deux visuels différents.</w:t>
      </w:r>
    </w:p>
    <w:p>
      <w:pPr>
        <w:pStyle w:val="ListBullet"/>
        <w:spacing w:before="0" w:after="50" w:line="250" w:lineRule="auto"/>
      </w:pPr>
      <w:r>
        <w:rPr>
          <w:rFonts w:ascii="Aptos" w:hAnsi="Aptos"/>
          <w:color w:val="243746"/>
          <w:sz w:val="20"/>
        </w:rPr>
        <w:t>La matrice doit être utilisée pour explorer un niveau de détail que les graphiques ne montrent pas.</w:t>
      </w:r>
    </w:p>
    <w:p>
      <w:pPr>
        <w:pStyle w:val="ListBullet"/>
        <w:spacing w:before="0" w:after="50" w:line="250" w:lineRule="auto"/>
      </w:pPr>
      <w:r>
        <w:rPr>
          <w:rFonts w:ascii="Aptos" w:hAnsi="Aptos"/>
          <w:color w:val="243746"/>
          <w:sz w:val="20"/>
        </w:rPr>
        <w:t>Vérifiez les interactions : un clic sur une région, un produit ou un employé doit produire un comportement logique.</w:t>
      </w:r>
    </w:p>
    <w:tbl>
      <w:tblPr>
        <w:tblW w:type="auto" w:w="0"/>
        <w:jc w:val="center"/>
        <w:tblLook w:firstColumn="1" w:firstRow="1" w:lastColumn="0" w:lastRow="0" w:noHBand="0" w:noVBand="1" w:val="04A0"/>
      </w:tblPr>
      <w:tblGrid>
        <w:gridCol w:w="10166"/>
      </w:tblGrid>
      <w:tr>
        <w:tc>
          <w:tcPr>
            <w:tcW w:type="dxa" w:w="10166"/>
            <w:shd w:fill="FFF6E7"/>
            <w:tcMar>
              <w:top w:w="110" w:type="dxa"/>
              <w:start w:w="130" w:type="dxa"/>
              <w:bottom w:w="110" w:type="dxa"/>
              <w:end w:w="130" w:type="dxa"/>
            </w:tcMar>
            <w:tcBorders>
              <w:top w:val="single" w:sz="8" w:color="F0B54D"/>
              <w:left w:val="single" w:sz="8" w:color="F0B54D"/>
              <w:bottom w:val="single" w:sz="8" w:color="F0B54D"/>
              <w:right w:val="single" w:sz="8" w:color="F0B54D"/>
            </w:tcBorders>
          </w:tcPr>
          <w:p>
            <w:pPr>
              <w:spacing w:before="0" w:after="0" w:line="252" w:lineRule="auto"/>
            </w:pPr>
            <w:r>
              <w:rPr>
                <w:rFonts w:ascii="Aptos" w:hAnsi="Aptos"/>
                <w:b/>
                <w:color w:val="A86800"/>
                <w:sz w:val="18"/>
              </w:rPr>
              <w:t xml:space="preserve">ASTUCE  </w:t>
            </w:r>
            <w:r>
              <w:rPr>
                <w:rFonts w:ascii="Aptos" w:hAnsi="Aptos"/>
                <w:color w:val="243746"/>
                <w:sz w:val="20"/>
              </w:rPr>
              <w:t>Si un visuel devient difficile à lire, simplifiez-le avant d'ajouter des couleurs ou des effets. La clarté passe avant le style.</w:t>
            </w:r>
          </w:p>
        </w:tc>
      </w:tr>
    </w:tbl>
    <w:p>
      <w:pPr>
        <w:spacing w:after="0"/>
      </w:pPr>
    </w:p>
    <w:p>
      <w:pPr>
        <w:spacing w:before="200" w:after="100" w:line="240" w:lineRule="auto"/>
        <w:pBdr>
          <w:bottom w:val="single" w:sz="12" w:space="3" w:color="00AEEF"/>
        </w:pBdr>
        <w:keepNext/>
      </w:pPr>
      <w:r>
        <w:rPr>
          <w:rFonts w:ascii="Aptos" w:hAnsi="Aptos"/>
          <w:b/>
          <w:color w:val="183A5A"/>
          <w:sz w:val="34"/>
        </w:rPr>
        <w:t>6. Page 3 - Qualité / Exceptions</w:t>
      </w:r>
    </w:p>
    <w:tbl>
      <w:tblPr>
        <w:tblW w:type="auto" w:w="0"/>
        <w:jc w:val="center"/>
        <w:tblLook w:firstColumn="1" w:firstRow="1" w:lastColumn="0" w:lastRow="0" w:noHBand="0" w:noVBand="1" w:val="04A0"/>
      </w:tblPr>
      <w:tblGrid>
        <w:gridCol w:w="10166"/>
      </w:tblGrid>
      <w:tr>
        <w:tc>
          <w:tcPr>
            <w:tcW w:type="dxa" w:w="10166"/>
            <w:shd w:fill="EAF8FD"/>
            <w:tcMar>
              <w:top w:w="110" w:type="dxa"/>
              <w:start w:w="130" w:type="dxa"/>
              <w:bottom w:w="110" w:type="dxa"/>
              <w:end w:w="130" w:type="dxa"/>
            </w:tcMar>
            <w:tcBorders>
              <w:top w:val="single" w:sz="8" w:color="00AEEF"/>
              <w:left w:val="single" w:sz="8" w:color="00AEEF"/>
              <w:bottom w:val="single" w:sz="8" w:color="00AEEF"/>
              <w:right w:val="single" w:sz="8" w:color="00AEEF"/>
            </w:tcBorders>
          </w:tcPr>
          <w:p>
            <w:pPr>
              <w:spacing w:before="0" w:after="0" w:line="252" w:lineRule="auto"/>
            </w:pPr>
            <w:r>
              <w:rPr>
                <w:rFonts w:ascii="Aptos" w:hAnsi="Aptos"/>
                <w:b/>
                <w:color w:val="00AEEF"/>
                <w:sz w:val="18"/>
              </w:rPr>
              <w:t xml:space="preserve">QUESTION À LAQUELLE LA PAGE DOIT RÉPONDRE  </w:t>
            </w:r>
            <w:r>
              <w:rPr>
                <w:rFonts w:ascii="Aptos" w:hAnsi="Aptos"/>
                <w:color w:val="243746"/>
                <w:sz w:val="20"/>
              </w:rPr>
              <w:t>Quels éléments méritent une attention particulière et comment les repérer rapidement?</w:t>
            </w:r>
          </w:p>
        </w:tc>
      </w:tr>
    </w:tbl>
    <w:p>
      <w:pPr>
        <w:spacing w:after="0"/>
      </w:pPr>
    </w:p>
    <w:p>
      <w:pPr>
        <w:pStyle w:val="ListBullet"/>
        <w:spacing w:before="0" w:after="50" w:line="250" w:lineRule="auto"/>
      </w:pPr>
      <w:r>
        <w:rPr>
          <w:rFonts w:ascii="Aptos" w:hAnsi="Aptos"/>
          <w:color w:val="243746"/>
          <w:sz w:val="20"/>
        </w:rPr>
        <w:t>Utiliser une table ou une matrice sur les clients ou les produits.</w:t>
      </w:r>
    </w:p>
    <w:p>
      <w:pPr>
        <w:pStyle w:val="ListBullet"/>
        <w:spacing w:before="0" w:after="50" w:line="250" w:lineRule="auto"/>
      </w:pPr>
      <w:r>
        <w:rPr>
          <w:rFonts w:ascii="Aptos" w:hAnsi="Aptos"/>
          <w:color w:val="243746"/>
          <w:sz w:val="20"/>
        </w:rPr>
        <w:t>Ajouter au moins une mise en forme conditionnelle basée sur une valeur ou un seuil.</w:t>
      </w:r>
    </w:p>
    <w:p>
      <w:pPr>
        <w:pStyle w:val="ListBullet"/>
        <w:spacing w:before="0" w:after="50" w:line="250" w:lineRule="auto"/>
      </w:pPr>
      <w:r>
        <w:rPr>
          <w:rFonts w:ascii="Aptos" w:hAnsi="Aptos"/>
          <w:color w:val="243746"/>
          <w:sz w:val="20"/>
        </w:rPr>
        <w:t>Ajouter une deuxième mise en forme conditionnelle qui apporte une information différente : icônes, couleur d’arrière-plan ou barre de données.</w:t>
      </w:r>
    </w:p>
    <w:p>
      <w:pPr>
        <w:pStyle w:val="ListBullet"/>
        <w:spacing w:before="0" w:after="50" w:line="250" w:lineRule="auto"/>
      </w:pPr>
      <w:r>
        <w:rPr>
          <w:rFonts w:ascii="Aptos" w:hAnsi="Aptos"/>
          <w:color w:val="243746"/>
          <w:sz w:val="20"/>
        </w:rPr>
        <w:t>Choisir des seuils compréhensibles et cohérents avec les données affichées.</w:t>
      </w:r>
    </w:p>
    <w:p>
      <w:pPr>
        <w:pStyle w:val="ListBullet"/>
        <w:spacing w:before="0" w:after="50" w:line="250" w:lineRule="auto"/>
      </w:pPr>
      <w:r>
        <w:rPr>
          <w:rFonts w:ascii="Aptos" w:hAnsi="Aptos"/>
          <w:color w:val="243746"/>
          <w:sz w:val="20"/>
        </w:rPr>
        <w:t>Faire en sorte que la couleur accélère la lecture sans devenir la seule façon de comprendre l’information.</w:t>
      </w:r>
    </w:p>
    <w:tbl>
      <w:tblPr>
        <w:tblW w:type="auto" w:w="0"/>
        <w:jc w:val="center"/>
        <w:tblLook w:firstColumn="1" w:firstRow="1" w:lastColumn="0" w:lastRow="0" w:noHBand="0" w:noVBand="1" w:val="04A0"/>
      </w:tblPr>
      <w:tblGrid>
        <w:gridCol w:w="10166"/>
      </w:tblGrid>
      <w:tr>
        <w:tc>
          <w:tcPr>
            <w:tcW w:type="dxa" w:w="10166"/>
            <w:shd w:fill="FDEEEE"/>
            <w:tcMar>
              <w:top w:w="110" w:type="dxa"/>
              <w:start w:w="130" w:type="dxa"/>
              <w:bottom w:w="110" w:type="dxa"/>
              <w:end w:w="130" w:type="dxa"/>
            </w:tcMar>
            <w:tcBorders>
              <w:top w:val="single" w:sz="8" w:color="DD6B6B"/>
              <w:left w:val="single" w:sz="8" w:color="DD6B6B"/>
              <w:bottom w:val="single" w:sz="8" w:color="DD6B6B"/>
              <w:right w:val="single" w:sz="8" w:color="DD6B6B"/>
            </w:tcBorders>
          </w:tcPr>
          <w:p>
            <w:pPr>
              <w:spacing w:before="0" w:after="0" w:line="252" w:lineRule="auto"/>
            </w:pPr>
            <w:r>
              <w:rPr>
                <w:rFonts w:ascii="Aptos" w:hAnsi="Aptos"/>
                <w:b/>
                <w:color w:val="A33B3B"/>
                <w:sz w:val="18"/>
              </w:rPr>
              <w:t xml:space="preserve">EXEMPLE DE LOGIQUE  </w:t>
            </w:r>
            <w:r>
              <w:rPr>
                <w:rFonts w:ascii="Aptos" w:hAnsi="Aptos"/>
                <w:color w:val="243746"/>
                <w:sz w:val="20"/>
              </w:rPr>
              <w:t>Un résultat sous un seuil peut être signalé en rouge et un résultat supérieur au seuil en vert. Le seuil doit avoir un sens; il ne doit pas être choisi uniquement pour créer de la couleur.</w:t>
            </w:r>
          </w:p>
        </w:tc>
      </w:tr>
    </w:tbl>
    <w:p>
      <w:pPr>
        <w:spacing w:after="0"/>
      </w:pPr>
    </w:p>
    <w:p>
      <w:r>
        <w:br w:type="page"/>
      </w:r>
    </w:p>
    <w:p>
      <w:pPr>
        <w:spacing w:before="200" w:after="100" w:line="240" w:lineRule="auto"/>
        <w:pBdr>
          <w:bottom w:val="single" w:sz="12" w:space="3" w:color="00AEEF"/>
        </w:pBdr>
        <w:keepNext/>
      </w:pPr>
      <w:r>
        <w:rPr>
          <w:rFonts w:ascii="Aptos" w:hAnsi="Aptos"/>
          <w:b/>
          <w:color w:val="183A5A"/>
          <w:sz w:val="34"/>
        </w:rPr>
        <w:t>7. Identité visuelle et mise en forme</w:t>
      </w:r>
    </w:p>
    <w:tbl>
      <w:tblPr>
        <w:tblW w:type="auto" w:w="0"/>
        <w:jc w:val="center"/>
        <w:tblLayout w:type="fixed"/>
        <w:tblLook w:firstColumn="1" w:firstRow="1" w:lastColumn="0" w:lastRow="0" w:noHBand="0" w:noVBand="1" w:val="04A0"/>
      </w:tblPr>
      <w:tblGrid>
        <w:gridCol w:w="5083"/>
        <w:gridCol w:w="5083"/>
      </w:tblGrid>
      <w:tr>
        <w:tc>
          <w:tcPr>
            <w:tcW w:type="dxa" w:w="5083"/>
            <w:shd w:fill="F6FAFC"/>
            <w:tcBorders>
              <w:top w:val="single" w:sz="6" w:color="E8EDF2"/>
              <w:left w:val="single" w:sz="6" w:color="E8EDF2"/>
              <w:bottom w:val="single" w:sz="6" w:color="E8EDF2"/>
              <w:right w:val="single" w:sz="6" w:color="E8EDF2"/>
            </w:tcBorders>
            <w:tcMar>
              <w:top w:w="120" w:type="dxa"/>
              <w:start w:w="130" w:type="dxa"/>
              <w:bottom w:w="110" w:type="dxa"/>
              <w:end w:w="130" w:type="dxa"/>
            </w:tcMar>
          </w:tcPr>
          <w:p>
            <w:pPr>
              <w:spacing w:before="0" w:after="120" w:line="252" w:lineRule="auto"/>
            </w:pPr>
            <w:r>
              <w:rPr>
                <w:rFonts w:ascii="Aptos" w:hAnsi="Aptos"/>
                <w:b/>
                <w:color w:val="183A5A"/>
                <w:sz w:val="22"/>
              </w:rPr>
              <w:t>À appliquer</w:t>
            </w:r>
          </w:p>
          <w:p>
            <w:pPr>
              <w:pStyle w:val="ListBullet"/>
              <w:spacing w:before="0" w:after="40" w:line="245" w:lineRule="auto"/>
            </w:pPr>
            <w:r>
              <w:rPr>
                <w:rFonts w:ascii="Aptos" w:hAnsi="Aptos"/>
                <w:color w:val="243746"/>
                <w:sz w:val="18"/>
              </w:rPr>
              <w:t>2 ou 3 couleurs principales maximum</w:t>
            </w:r>
          </w:p>
          <w:p>
            <w:pPr>
              <w:pStyle w:val="ListBullet"/>
              <w:spacing w:before="0" w:after="40" w:line="245" w:lineRule="auto"/>
            </w:pPr>
            <w:r>
              <w:rPr>
                <w:rFonts w:ascii="Aptos" w:hAnsi="Aptos"/>
                <w:color w:val="243746"/>
                <w:sz w:val="18"/>
              </w:rPr>
              <w:t>Un bandeau ou un en-tête cohérent</w:t>
            </w:r>
          </w:p>
          <w:p>
            <w:pPr>
              <w:pStyle w:val="ListBullet"/>
              <w:spacing w:before="0" w:after="40" w:line="245" w:lineRule="auto"/>
            </w:pPr>
            <w:r>
              <w:rPr>
                <w:rFonts w:ascii="Aptos" w:hAnsi="Aptos"/>
                <w:color w:val="243746"/>
                <w:sz w:val="18"/>
              </w:rPr>
              <w:t>Titres courts et explicites</w:t>
            </w:r>
          </w:p>
          <w:p>
            <w:pPr>
              <w:pStyle w:val="ListBullet"/>
              <w:spacing w:before="0" w:after="40" w:line="245" w:lineRule="auto"/>
            </w:pPr>
            <w:r>
              <w:rPr>
                <w:rFonts w:ascii="Aptos" w:hAnsi="Aptos"/>
                <w:color w:val="243746"/>
                <w:sz w:val="18"/>
              </w:rPr>
              <w:t>Formats uniformes : CAD, %, séparateurs, décimales</w:t>
            </w:r>
          </w:p>
          <w:p>
            <w:pPr>
              <w:pStyle w:val="ListBullet"/>
              <w:spacing w:before="0" w:after="40" w:line="245" w:lineRule="auto"/>
            </w:pPr>
            <w:r>
              <w:rPr>
                <w:rFonts w:ascii="Aptos" w:hAnsi="Aptos"/>
                <w:color w:val="243746"/>
                <w:sz w:val="18"/>
              </w:rPr>
              <w:t>Espacements et alignements réguliers</w:t>
            </w:r>
          </w:p>
          <w:p>
            <w:pPr>
              <w:pStyle w:val="ListBullet"/>
              <w:spacing w:before="0" w:after="40" w:line="245" w:lineRule="auto"/>
            </w:pPr>
            <w:r>
              <w:rPr>
                <w:rFonts w:ascii="Aptos" w:hAnsi="Aptos"/>
                <w:color w:val="243746"/>
                <w:sz w:val="18"/>
              </w:rPr>
              <w:t>Même style de segments d’une page à l’autre</w:t>
            </w:r>
          </w:p>
        </w:tc>
        <w:tc>
          <w:tcPr>
            <w:tcW w:type="dxa" w:w="5083"/>
            <w:shd w:fill="F6FAFC"/>
            <w:tcBorders>
              <w:top w:val="single" w:sz="6" w:color="E8EDF2"/>
              <w:left w:val="single" w:sz="6" w:color="E8EDF2"/>
              <w:bottom w:val="single" w:sz="6" w:color="E8EDF2"/>
              <w:right w:val="single" w:sz="6" w:color="E8EDF2"/>
            </w:tcBorders>
            <w:tcMar>
              <w:top w:w="120" w:type="dxa"/>
              <w:start w:w="130" w:type="dxa"/>
              <w:bottom w:w="110" w:type="dxa"/>
              <w:end w:w="130" w:type="dxa"/>
            </w:tcMar>
          </w:tcPr>
          <w:p>
            <w:pPr>
              <w:spacing w:before="0" w:after="120" w:line="252" w:lineRule="auto"/>
            </w:pPr>
            <w:r>
              <w:rPr>
                <w:rFonts w:ascii="Aptos" w:hAnsi="Aptos"/>
                <w:b/>
                <w:color w:val="183A5A"/>
                <w:sz w:val="22"/>
              </w:rPr>
              <w:t>À éviter</w:t>
            </w:r>
          </w:p>
          <w:p>
            <w:pPr>
              <w:pStyle w:val="ListBullet"/>
              <w:spacing w:before="0" w:after="40" w:line="245" w:lineRule="auto"/>
            </w:pPr>
            <w:r>
              <w:rPr>
                <w:rFonts w:ascii="Aptos" w:hAnsi="Aptos"/>
                <w:color w:val="243746"/>
                <w:sz w:val="18"/>
              </w:rPr>
              <w:t>Une couleur différente pour chaque visuel</w:t>
            </w:r>
          </w:p>
          <w:p>
            <w:pPr>
              <w:pStyle w:val="ListBullet"/>
              <w:spacing w:before="0" w:after="40" w:line="245" w:lineRule="auto"/>
            </w:pPr>
            <w:r>
              <w:rPr>
                <w:rFonts w:ascii="Aptos" w:hAnsi="Aptos"/>
                <w:color w:val="243746"/>
                <w:sz w:val="18"/>
              </w:rPr>
              <w:t>Des ombres et bordures partout</w:t>
            </w:r>
          </w:p>
          <w:p>
            <w:pPr>
              <w:pStyle w:val="ListBullet"/>
              <w:spacing w:before="0" w:after="40" w:line="245" w:lineRule="auto"/>
            </w:pPr>
            <w:r>
              <w:rPr>
                <w:rFonts w:ascii="Aptos" w:hAnsi="Aptos"/>
                <w:color w:val="243746"/>
                <w:sz w:val="18"/>
              </w:rPr>
              <w:t>Des titres automatiques trop longs</w:t>
            </w:r>
          </w:p>
          <w:p>
            <w:pPr>
              <w:pStyle w:val="ListBullet"/>
              <w:spacing w:before="0" w:after="40" w:line="245" w:lineRule="auto"/>
            </w:pPr>
            <w:r>
              <w:rPr>
                <w:rFonts w:ascii="Aptos" w:hAnsi="Aptos"/>
                <w:color w:val="243746"/>
                <w:sz w:val="18"/>
              </w:rPr>
              <w:t>Des nombres avec des formats différents</w:t>
            </w:r>
          </w:p>
          <w:p>
            <w:pPr>
              <w:pStyle w:val="ListBullet"/>
              <w:spacing w:before="0" w:after="40" w:line="245" w:lineRule="auto"/>
            </w:pPr>
            <w:r>
              <w:rPr>
                <w:rFonts w:ascii="Aptos" w:hAnsi="Aptos"/>
                <w:color w:val="243746"/>
                <w:sz w:val="18"/>
              </w:rPr>
              <w:t>Des visuels collés sans espace blanc</w:t>
            </w:r>
          </w:p>
          <w:p>
            <w:pPr>
              <w:pStyle w:val="ListBullet"/>
              <w:spacing w:before="0" w:after="40" w:line="245" w:lineRule="auto"/>
            </w:pPr>
            <w:r>
              <w:rPr>
                <w:rFonts w:ascii="Aptos" w:hAnsi="Aptos"/>
                <w:color w:val="243746"/>
                <w:sz w:val="18"/>
              </w:rPr>
              <w:t>Une page surchargée uniquement pour remplir l’espace</w:t>
            </w:r>
          </w:p>
        </w:tc>
      </w:tr>
    </w:tbl>
    <w:p>
      <w:pPr>
        <w:spacing w:after="0"/>
      </w:pPr>
    </w:p>
    <w:p>
      <w:pPr>
        <w:spacing w:before="200" w:after="100" w:line="240" w:lineRule="auto"/>
        <w:pBdr>
          <w:bottom w:val="single" w:sz="12" w:space="3" w:color="00AEEF"/>
        </w:pBdr>
        <w:keepNext/>
      </w:pPr>
      <w:r>
        <w:rPr>
          <w:rFonts w:ascii="Aptos" w:hAnsi="Aptos"/>
          <w:b/>
          <w:color w:val="183A5A"/>
          <w:sz w:val="34"/>
        </w:rPr>
        <w:t>8. Lisibilité et accessibilité</w:t>
      </w:r>
    </w:p>
    <w:p>
      <w:pPr>
        <w:pStyle w:val="ListBullet"/>
        <w:spacing w:before="0" w:after="50" w:line="250" w:lineRule="auto"/>
      </w:pPr>
      <w:r>
        <w:rPr>
          <w:rFonts w:ascii="Aptos" w:hAnsi="Aptos"/>
          <w:color w:val="243746"/>
          <w:sz w:val="20"/>
        </w:rPr>
        <w:t>Assurez un contraste suffisant entre le texte et l’arrière-plan.</w:t>
      </w:r>
    </w:p>
    <w:p>
      <w:pPr>
        <w:pStyle w:val="ListBullet"/>
        <w:spacing w:before="0" w:after="50" w:line="250" w:lineRule="auto"/>
      </w:pPr>
      <w:r>
        <w:rPr>
          <w:rFonts w:ascii="Aptos" w:hAnsi="Aptos"/>
          <w:color w:val="243746"/>
          <w:sz w:val="20"/>
        </w:rPr>
        <w:t>N’utilisez jamais uniquement la couleur pour communiquer une alerte; ajoutez une valeur, une icône ou un libellé.</w:t>
      </w:r>
    </w:p>
    <w:p>
      <w:pPr>
        <w:pStyle w:val="ListBullet"/>
        <w:spacing w:before="0" w:after="50" w:line="250" w:lineRule="auto"/>
      </w:pPr>
      <w:r>
        <w:rPr>
          <w:rFonts w:ascii="Aptos" w:hAnsi="Aptos"/>
          <w:color w:val="243746"/>
          <w:sz w:val="20"/>
        </w:rPr>
        <w:t>Gardez des tailles de texte lisibles, particulièrement pour les titres et les axes.</w:t>
      </w:r>
    </w:p>
    <w:p>
      <w:pPr>
        <w:pStyle w:val="ListBullet"/>
        <w:spacing w:before="0" w:after="50" w:line="250" w:lineRule="auto"/>
      </w:pPr>
      <w:r>
        <w:rPr>
          <w:rFonts w:ascii="Aptos" w:hAnsi="Aptos"/>
          <w:color w:val="243746"/>
          <w:sz w:val="20"/>
        </w:rPr>
        <w:t>Placez l’information la plus importante en haut de la page.</w:t>
      </w:r>
    </w:p>
    <w:p>
      <w:pPr>
        <w:pStyle w:val="ListBullet"/>
        <w:spacing w:before="0" w:after="50" w:line="250" w:lineRule="auto"/>
      </w:pPr>
      <w:r>
        <w:rPr>
          <w:rFonts w:ascii="Aptos" w:hAnsi="Aptos"/>
          <w:color w:val="243746"/>
          <w:sz w:val="20"/>
        </w:rPr>
        <w:t>Conservez un ordre de lecture naturel : de gauche à droite et de haut en bas.</w:t>
      </w:r>
    </w:p>
    <w:p>
      <w:pPr>
        <w:pStyle w:val="ListBullet"/>
        <w:spacing w:before="0" w:after="50" w:line="250" w:lineRule="auto"/>
      </w:pPr>
      <w:r>
        <w:rPr>
          <w:rFonts w:ascii="Aptos" w:hAnsi="Aptos"/>
          <w:color w:val="243746"/>
          <w:sz w:val="20"/>
        </w:rPr>
        <w:t>Limitez le nombre de visuels afin que l’utilisateur sache immédiatement où regarder.</w:t>
      </w:r>
    </w:p>
    <w:p>
      <w:pPr>
        <w:spacing w:before="200" w:after="100" w:line="240" w:lineRule="auto"/>
        <w:pBdr>
          <w:bottom w:val="single" w:sz="12" w:space="3" w:color="00AEEF"/>
        </w:pBdr>
        <w:keepNext/>
      </w:pPr>
      <w:r>
        <w:rPr>
          <w:rFonts w:ascii="Aptos" w:hAnsi="Aptos"/>
          <w:b/>
          <w:color w:val="183A5A"/>
          <w:sz w:val="34"/>
        </w:rPr>
        <w:t>9. Pendant la séance à distance</w:t>
      </w:r>
    </w:p>
    <w:tbl>
      <w:tblPr>
        <w:tblW w:type="auto" w:w="0"/>
        <w:jc w:val="center"/>
        <w:tblLook w:firstColumn="1" w:firstRow="1" w:lastColumn="0" w:lastRow="0" w:noHBand="0" w:noVBand="1" w:val="04A0"/>
      </w:tblPr>
      <w:tblGrid>
        <w:gridCol w:w="10166"/>
      </w:tblGrid>
      <w:tr>
        <w:tc>
          <w:tcPr>
            <w:tcW w:type="dxa" w:w="10166"/>
            <w:shd w:fill="EAF8FD"/>
            <w:tcMar>
              <w:top w:w="110" w:type="dxa"/>
              <w:start w:w="130" w:type="dxa"/>
              <w:bottom w:w="110" w:type="dxa"/>
              <w:end w:w="130" w:type="dxa"/>
            </w:tcMar>
            <w:tcBorders>
              <w:top w:val="single" w:sz="8" w:color="00AEEF"/>
              <w:left w:val="single" w:sz="8" w:color="00AEEF"/>
              <w:bottom w:val="single" w:sz="8" w:color="00AEEF"/>
              <w:right w:val="single" w:sz="8" w:color="00AEEF"/>
            </w:tcBorders>
          </w:tcPr>
          <w:p>
            <w:pPr>
              <w:spacing w:before="0" w:after="0" w:line="252" w:lineRule="auto"/>
            </w:pPr>
            <w:r>
              <w:rPr>
                <w:rFonts w:ascii="Aptos" w:hAnsi="Aptos"/>
                <w:b/>
                <w:color w:val="00AEEF"/>
                <w:sz w:val="18"/>
              </w:rPr>
              <w:t xml:space="preserve">RYTHME RECOMMANDÉ  </w:t>
            </w:r>
            <w:r>
              <w:rPr>
                <w:rFonts w:ascii="Aptos" w:hAnsi="Aptos"/>
                <w:color w:val="243746"/>
                <w:sz w:val="20"/>
              </w:rPr>
              <w:t>Construisez d'abord la structure et les visuels principaux. La mise en forme fine vient ensuite. Si vous prenez du retard, priorisez le fonctionnement du rapport; les éléments décoratifs peuvent être ajoutés à la fin.</w:t>
            </w:r>
          </w:p>
        </w:tc>
      </w:tr>
    </w:tbl>
    <w:p>
      <w:pPr>
        <w:spacing w:after="0"/>
      </w:pPr>
    </w:p>
    <w:p>
      <w:pPr>
        <w:pStyle w:val="ListBullet"/>
        <w:spacing w:before="0" w:after="50" w:line="250" w:lineRule="auto"/>
      </w:pPr>
      <w:r>
        <w:rPr>
          <w:rFonts w:ascii="Aptos" w:hAnsi="Aptos"/>
          <w:color w:val="243746"/>
          <w:sz w:val="20"/>
        </w:rPr>
        <w:t>Gardez le fichier Power BI enregistré régulièrement.</w:t>
      </w:r>
    </w:p>
    <w:p>
      <w:pPr>
        <w:pStyle w:val="ListBullet"/>
        <w:spacing w:before="0" w:after="50" w:line="250" w:lineRule="auto"/>
      </w:pPr>
      <w:r>
        <w:rPr>
          <w:rFonts w:ascii="Aptos" w:hAnsi="Aptos"/>
          <w:color w:val="243746"/>
          <w:sz w:val="20"/>
        </w:rPr>
        <w:t>Si un problème de connexion à SharePoint survient, utilisez le fichier Excel fourni pour poursuivre le cas.</w:t>
      </w:r>
    </w:p>
    <w:p>
      <w:pPr>
        <w:pStyle w:val="ListBullet"/>
        <w:spacing w:before="0" w:after="50" w:line="250" w:lineRule="auto"/>
      </w:pPr>
      <w:r>
        <w:rPr>
          <w:rFonts w:ascii="Aptos" w:hAnsi="Aptos"/>
          <w:color w:val="243746"/>
          <w:sz w:val="20"/>
        </w:rPr>
        <w:t>Posez vos questions au moment où vous bloquez : l’objectif est de comprendre la logique, pas de rester coincé sur une manipulation.</w:t>
      </w:r>
    </w:p>
    <w:p>
      <w:pPr>
        <w:pStyle w:val="ListBullet"/>
        <w:spacing w:before="0" w:after="50" w:line="250" w:lineRule="auto"/>
      </w:pPr>
      <w:r>
        <w:rPr>
          <w:rFonts w:ascii="Aptos" w:hAnsi="Aptos"/>
          <w:color w:val="243746"/>
          <w:sz w:val="20"/>
        </w:rPr>
        <w:t>Si vous avancez plus vite, ajoutez des boutons de navigation, un logo, un titre dynamique ou améliorez les info-bulles.</w:t>
      </w:r>
    </w:p>
    <w:p>
      <w:pPr>
        <w:spacing w:before="200" w:after="100" w:line="240" w:lineRule="auto"/>
        <w:pBdr>
          <w:bottom w:val="single" w:sz="12" w:space="3" w:color="00AEEF"/>
        </w:pBdr>
        <w:keepNext/>
        <w:pageBreakBefore/>
      </w:pPr>
      <w:r>
        <w:rPr>
          <w:rFonts w:ascii="Aptos" w:hAnsi="Aptos"/>
          <w:b/>
          <w:color w:val="183A5A"/>
          <w:sz w:val="34"/>
        </w:rPr>
        <w:t>10. Vérification finale</w:t>
      </w:r>
    </w:p>
    <w:p>
      <w:pPr>
        <w:spacing w:before="0" w:after="56" w:line="245" w:lineRule="auto"/>
      </w:pPr>
      <w:r>
        <w:rPr>
          <w:rFonts w:ascii="Aptos" w:hAnsi="Aptos"/>
          <w:b/>
          <w:color w:val="00AEEF"/>
          <w:sz w:val="22"/>
        </w:rPr>
        <w:t xml:space="preserve">☐  </w:t>
      </w:r>
      <w:r>
        <w:rPr>
          <w:rFonts w:ascii="Aptos" w:hAnsi="Aptos"/>
          <w:color w:val="243746"/>
          <w:sz w:val="20"/>
        </w:rPr>
        <w:t>Les 3 pages sont présentes et ont un objectif différent.</w:t>
      </w:r>
    </w:p>
    <w:p>
      <w:pPr>
        <w:spacing w:before="0" w:after="56" w:line="245" w:lineRule="auto"/>
      </w:pPr>
      <w:r>
        <w:rPr>
          <w:rFonts w:ascii="Aptos" w:hAnsi="Aptos"/>
          <w:b/>
          <w:color w:val="00AEEF"/>
          <w:sz w:val="22"/>
        </w:rPr>
        <w:t xml:space="preserve">☐  </w:t>
      </w:r>
      <w:r>
        <w:rPr>
          <w:rFonts w:ascii="Aptos" w:hAnsi="Aptos"/>
          <w:color w:val="243746"/>
          <w:sz w:val="20"/>
        </w:rPr>
        <w:t>Les KPI et les mesures affichent les bons formats.</w:t>
      </w:r>
    </w:p>
    <w:p>
      <w:pPr>
        <w:spacing w:before="0" w:after="56" w:line="245" w:lineRule="auto"/>
      </w:pPr>
      <w:r>
        <w:rPr>
          <w:rFonts w:ascii="Aptos" w:hAnsi="Aptos"/>
          <w:b/>
          <w:color w:val="00AEEF"/>
          <w:sz w:val="22"/>
        </w:rPr>
        <w:t xml:space="preserve">☐  </w:t>
      </w:r>
      <w:r>
        <w:rPr>
          <w:rFonts w:ascii="Aptos" w:hAnsi="Aptos"/>
          <w:color w:val="243746"/>
          <w:sz w:val="20"/>
        </w:rPr>
        <w:t>Les segments Année et Région fonctionnent comme prévu.</w:t>
      </w:r>
    </w:p>
    <w:p>
      <w:pPr>
        <w:spacing w:before="0" w:after="56" w:line="245" w:lineRule="auto"/>
      </w:pPr>
      <w:r>
        <w:rPr>
          <w:rFonts w:ascii="Aptos" w:hAnsi="Aptos"/>
          <w:b/>
          <w:color w:val="00AEEF"/>
          <w:sz w:val="22"/>
        </w:rPr>
        <w:t xml:space="preserve">☐  </w:t>
      </w:r>
      <w:r>
        <w:rPr>
          <w:rFonts w:ascii="Aptos" w:hAnsi="Aptos"/>
          <w:color w:val="243746"/>
          <w:sz w:val="20"/>
        </w:rPr>
        <w:t>Le Top 10 est trié correctement.</w:t>
      </w:r>
    </w:p>
    <w:p>
      <w:pPr>
        <w:spacing w:before="0" w:after="56" w:line="245" w:lineRule="auto"/>
      </w:pPr>
      <w:r>
        <w:rPr>
          <w:rFonts w:ascii="Aptos" w:hAnsi="Aptos"/>
          <w:b/>
          <w:color w:val="00AEEF"/>
          <w:sz w:val="22"/>
        </w:rPr>
        <w:t xml:space="preserve">☐  </w:t>
      </w:r>
      <w:r>
        <w:rPr>
          <w:rFonts w:ascii="Aptos" w:hAnsi="Aptos"/>
          <w:color w:val="243746"/>
          <w:sz w:val="20"/>
        </w:rPr>
        <w:t>La matrice permet d’explorer Région &gt; Catégorie &gt; Produit.</w:t>
      </w:r>
    </w:p>
    <w:p>
      <w:pPr>
        <w:spacing w:before="0" w:after="56" w:line="245" w:lineRule="auto"/>
      </w:pPr>
      <w:r>
        <w:rPr>
          <w:rFonts w:ascii="Aptos" w:hAnsi="Aptos"/>
          <w:b/>
          <w:color w:val="00AEEF"/>
          <w:sz w:val="22"/>
        </w:rPr>
        <w:t xml:space="preserve">☐  </w:t>
      </w:r>
      <w:r>
        <w:rPr>
          <w:rFonts w:ascii="Aptos" w:hAnsi="Aptos"/>
          <w:color w:val="243746"/>
          <w:sz w:val="20"/>
        </w:rPr>
        <w:t>Au moins 2 mises en forme conditionnelles sont utilisées de façon utile.</w:t>
      </w:r>
    </w:p>
    <w:p>
      <w:pPr>
        <w:spacing w:before="0" w:after="56" w:line="245" w:lineRule="auto"/>
      </w:pPr>
      <w:r>
        <w:rPr>
          <w:rFonts w:ascii="Aptos" w:hAnsi="Aptos"/>
          <w:b/>
          <w:color w:val="00AEEF"/>
          <w:sz w:val="22"/>
        </w:rPr>
        <w:t xml:space="preserve">☐  </w:t>
      </w:r>
      <w:r>
        <w:rPr>
          <w:rFonts w:ascii="Aptos" w:hAnsi="Aptos"/>
          <w:color w:val="243746"/>
          <w:sz w:val="20"/>
        </w:rPr>
        <w:t>Les couleurs, titres, espacements et formats sont cohérents entre les pages.</w:t>
      </w:r>
    </w:p>
    <w:p>
      <w:pPr>
        <w:spacing w:before="0" w:after="56" w:line="245" w:lineRule="auto"/>
      </w:pPr>
      <w:r>
        <w:rPr>
          <w:rFonts w:ascii="Aptos" w:hAnsi="Aptos"/>
          <w:b/>
          <w:color w:val="00AEEF"/>
          <w:sz w:val="22"/>
        </w:rPr>
        <w:t xml:space="preserve">☐  </w:t>
      </w:r>
      <w:r>
        <w:rPr>
          <w:rFonts w:ascii="Aptos" w:hAnsi="Aptos"/>
          <w:color w:val="243746"/>
          <w:sz w:val="20"/>
        </w:rPr>
        <w:t>Les interactions entre les visuels ont été testées.</w:t>
      </w:r>
    </w:p>
    <w:p>
      <w:pPr>
        <w:spacing w:before="0" w:after="56" w:line="245" w:lineRule="auto"/>
      </w:pPr>
      <w:r>
        <w:rPr>
          <w:rFonts w:ascii="Aptos" w:hAnsi="Aptos"/>
          <w:b/>
          <w:color w:val="00AEEF"/>
          <w:sz w:val="22"/>
        </w:rPr>
        <w:t xml:space="preserve">☐  </w:t>
      </w:r>
      <w:r>
        <w:rPr>
          <w:rFonts w:ascii="Aptos" w:hAnsi="Aptos"/>
          <w:color w:val="243746"/>
          <w:sz w:val="20"/>
        </w:rPr>
        <w:t>Le rapport peut être compris rapidement par quelqu’un qui ne l’a pas construit.</w:t>
      </w:r>
    </w:p>
    <w:tbl>
      <w:tblPr>
        <w:tblW w:type="auto" w:w="0"/>
        <w:jc w:val="center"/>
        <w:tblLook w:firstColumn="1" w:firstRow="1" w:lastColumn="0" w:lastRow="0" w:noHBand="0" w:noVBand="1" w:val="04A0"/>
      </w:tblPr>
      <w:tblGrid>
        <w:gridCol w:w="10166"/>
      </w:tblGrid>
      <w:tr>
        <w:tc>
          <w:tcPr>
            <w:tcW w:type="dxa" w:w="10166"/>
            <w:shd w:fill="EAF6EE"/>
            <w:tcMar>
              <w:top w:w="110" w:type="dxa"/>
              <w:start w:w="130" w:type="dxa"/>
              <w:bottom w:w="110" w:type="dxa"/>
              <w:end w:w="130" w:type="dxa"/>
            </w:tcMar>
            <w:tcBorders>
              <w:top w:val="single" w:sz="8" w:color="5EBB79"/>
              <w:left w:val="single" w:sz="8" w:color="5EBB79"/>
              <w:bottom w:val="single" w:sz="8" w:color="5EBB79"/>
              <w:right w:val="single" w:sz="8" w:color="5EBB79"/>
            </w:tcBorders>
          </w:tcPr>
          <w:p>
            <w:pPr>
              <w:spacing w:before="0" w:after="0" w:line="252" w:lineRule="auto"/>
            </w:pPr>
            <w:r>
              <w:rPr>
                <w:rFonts w:ascii="Aptos" w:hAnsi="Aptos"/>
                <w:b/>
                <w:color w:val="2D7D46"/>
                <w:sz w:val="18"/>
              </w:rPr>
              <w:t xml:space="preserve">À RETENIR  </w:t>
            </w:r>
            <w:r>
              <w:rPr>
                <w:rFonts w:ascii="Aptos" w:hAnsi="Aptos"/>
                <w:color w:val="243746"/>
                <w:sz w:val="20"/>
              </w:rPr>
              <w:t>Un bon rapport Power BI n'est pas celui qui contient le plus de visuels. C'est celui qui aide l'utilisateur à comprendre rapidement ce qui se passe, à analyser pourquoi et à repérer où agir.</w:t>
            </w:r>
          </w:p>
        </w:tc>
      </w:tr>
    </w:tbl>
    <w:p>
      <w:pPr>
        <w:spacing w:after="0"/>
      </w:pPr>
    </w:p>
    <w:sectPr w:rsidR="00FC693F" w:rsidRPr="0006063C" w:rsidSect="00034616">
      <w:headerReference w:type="default" r:id="rId9"/>
      <w:footerReference w:type="default" r:id="rId10"/>
      <w:pgSz w:w="12240" w:h="15840"/>
      <w:pgMar w:top="936"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2" w:lineRule="auto"/>
      <w:jc w:val="center"/>
    </w:pPr>
    <w:r>
      <w:rPr>
        <w:rFonts w:ascii="Aptos" w:hAnsi="Aptos"/>
        <w:color w:val="5D6670"/>
        <w:sz w:val="16"/>
      </w:rPr>
      <w:t>Formation CAD  •  Power BI  •  Cas guidé - Conception visuelle</w:t>
    </w:r>
    <w:r>
      <w:rPr>
        <w:rFonts w:ascii="Aptos" w:hAnsi="Aptos"/>
        <w:color w:val="5D6670"/>
        <w:sz w:val="16"/>
      </w:rPr>
      <w:t xml:space="preserve">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5184"/>
      <w:gridCol w:w="5184"/>
    </w:tblGrid>
    <w:tr>
      <w:tc>
        <w:tcPr>
          <w:tcW w:type="dxa" w:w="8352"/>
          <w:tcMar>
            <w:top w:w="0" w:type="dxa"/>
            <w:start w:w="0" w:type="dxa"/>
            <w:bottom w:w="0" w:type="dxa"/>
            <w:end w:w="0" w:type="dxa"/>
          </w:tcMar>
        </w:tcPr>
        <w:p>
          <w:pPr>
            <w:spacing w:before="0" w:after="0" w:line="252" w:lineRule="auto"/>
          </w:pPr>
          <w:r>
            <w:rPr>
              <w:rFonts w:ascii="Aptos" w:hAnsi="Aptos"/>
              <w:b/>
              <w:color w:val="5D6670"/>
              <w:sz w:val="17"/>
            </w:rPr>
            <w:t>FORMATION CAD  |  POWER BI</w:t>
          </w:r>
        </w:p>
      </w:tc>
      <w:tc>
        <w:tcPr>
          <w:tcW w:type="dxa" w:w="1440"/>
          <w:tcMar>
            <w:top w:w="0" w:type="dxa"/>
            <w:start w:w="0" w:type="dxa"/>
            <w:bottom w:w="0" w:type="dxa"/>
            <w:end w:w="0" w:type="dxa"/>
          </w:tcMar>
        </w:tcPr>
        <w:p>
          <w:pPr>
            <w:spacing w:before="0" w:after="0" w:line="252" w:lineRule="auto"/>
            <w:jc w:val="right"/>
          </w:pPr>
          <w:r>
            <w:drawing>
              <wp:inline xmlns:a="http://schemas.openxmlformats.org/drawingml/2006/main" xmlns:pic="http://schemas.openxmlformats.org/drawingml/2006/picture">
                <wp:extent cx="201168" cy="259572"/>
                <wp:docPr id="1" name="Picture 1"/>
                <wp:cNvGraphicFramePr>
                  <a:graphicFrameLocks noChangeAspect="1"/>
                </wp:cNvGraphicFramePr>
                <a:graphic>
                  <a:graphicData uri="http://schemas.openxmlformats.org/drawingml/2006/picture">
                    <pic:pic>
                      <pic:nvPicPr>
                        <pic:cNvPr id="0" name="formation_cad_icon_blue.png"/>
                        <pic:cNvPicPr/>
                      </pic:nvPicPr>
                      <pic:blipFill>
                        <a:blip r:embed="rId1"/>
                        <a:stretch>
                          <a:fillRect/>
                        </a:stretch>
                      </pic:blipFill>
                      <pic:spPr>
                        <a:xfrm>
                          <a:off x="0" y="0"/>
                          <a:ext cx="201168" cy="259572"/>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cadtraining.sharepoint.com/sites/Formation_Power_B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 guidé - Conception visuelle Power BI</dc:title>
  <dc:subject>Lignes directrices pour la séance à distance</dc:subject>
  <dc:creator>Formation CAD</dc:creator>
  <cp:keywords>Power BI, conception visuelle, Formation CAD, cas guidé</cp:keywords>
  <dc:description>generated by python-docx</dc:description>
  <cp:lastModifiedBy/>
  <cp:revision>1</cp:revision>
  <dcterms:created xsi:type="dcterms:W3CDTF">2013-12-23T23:15:00Z</dcterms:created>
  <dcterms:modified xsi:type="dcterms:W3CDTF">2013-12-23T23:15:00Z</dcterms:modified>
  <cp:category/>
</cp:coreProperties>
</file>